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73" w:rsidRDefault="00BA7273" w:rsidP="001741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es-PE"/>
        </w:rPr>
      </w:pPr>
    </w:p>
    <w:p w:rsidR="003165CA" w:rsidRDefault="00E50E7B" w:rsidP="00E50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es-PE"/>
        </w:rPr>
      </w:pPr>
      <w:r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es-PE"/>
        </w:rPr>
        <w:t xml:space="preserve">           PROCESO DE </w:t>
      </w:r>
      <w:r w:rsidR="00242E6E"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es-PE"/>
        </w:rPr>
        <w:t>SUSTENTACIÓN DE TRABAJO DE INVESTIGACIÓN</w:t>
      </w:r>
      <w:r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es-PE"/>
        </w:rPr>
        <w:t xml:space="preserve"> (TESIS, TRABAJO ACADÉMICO, MONOGRAFIA)</w:t>
      </w:r>
      <w:r w:rsidR="003165CA" w:rsidRPr="004C1433"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es-PE"/>
        </w:rPr>
        <w:t xml:space="preserve"> VIRTUAL</w:t>
      </w:r>
      <w:r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es-PE"/>
        </w:rPr>
        <w:t>”</w:t>
      </w:r>
    </w:p>
    <w:p w:rsidR="0094414C" w:rsidRPr="004C1433" w:rsidRDefault="0094414C" w:rsidP="001741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es-PE"/>
        </w:rPr>
      </w:pPr>
    </w:p>
    <w:p w:rsidR="00BB4E8F" w:rsidRPr="004C1433" w:rsidRDefault="00BB4E8F" w:rsidP="001741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lang w:eastAsia="es-PE"/>
        </w:rPr>
      </w:pPr>
    </w:p>
    <w:p w:rsidR="003165CA" w:rsidRPr="004C1433" w:rsidRDefault="003165CA" w:rsidP="001741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es-PE"/>
        </w:rPr>
      </w:pPr>
      <w:r w:rsidRPr="004C1433"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es-PE"/>
        </w:rPr>
        <w:t> </w:t>
      </w:r>
    </w:p>
    <w:p w:rsidR="00242E6E" w:rsidRPr="00242E6E" w:rsidRDefault="003165CA" w:rsidP="004C1433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es-PE"/>
        </w:rPr>
      </w:pP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Cumplidos todos los requisitos ad</w:t>
      </w:r>
      <w:r w:rsidR="0048198A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ministrativos establecidos, el J</w:t>
      </w: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efe de la</w:t>
      </w:r>
      <w:r w:rsidR="009522C5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Ofici</w:t>
      </w:r>
      <w:r w:rsidR="00BB4E8F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na de Grados y Titulos (</w:t>
      </w: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OGYT</w:t>
      </w:r>
      <w:r w:rsidR="00BB4E8F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)</w:t>
      </w: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, establecerá la fecha y hora de la sustentación y enviará a los miembros del jurado, vía correo electrónico, un archi</w:t>
      </w:r>
      <w:r w:rsidR="00BA727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vo del trabajo de investigación, </w:t>
      </w: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por lo menos quince (15) días cale</w:t>
      </w:r>
      <w:r w:rsidR="002D7AE8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ndario antes de la sustentación</w:t>
      </w:r>
      <w:r w:rsidR="00BA727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, asi como </w:t>
      </w:r>
      <w:r w:rsidR="00242E6E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la </w:t>
      </w:r>
      <w:r w:rsidR="00242E6E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resolución decanal escan</w:t>
      </w:r>
      <w:r w:rsidR="00242E6E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eada,</w:t>
      </w:r>
      <w:r w:rsidR="00242E6E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</w:t>
      </w:r>
      <w:r w:rsidR="00242E6E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el proceso de </w:t>
      </w:r>
      <w:r w:rsidR="00242E6E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sus</w:t>
      </w:r>
      <w:r w:rsidR="00242E6E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tentació</w:t>
      </w:r>
      <w:r w:rsidR="00242E6E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n </w:t>
      </w:r>
      <w:r w:rsidR="00242E6E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de trabajo de investigación </w:t>
      </w:r>
      <w:r w:rsidR="00242E6E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virtual </w:t>
      </w:r>
      <w:r w:rsidR="00242E6E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y </w:t>
      </w: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el </w:t>
      </w:r>
      <w:r w:rsidR="00BB4E8F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ppt </w:t>
      </w: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del trabajo</w:t>
      </w:r>
      <w:r w:rsidR="00BB4E8F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a sustentar</w:t>
      </w: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.</w:t>
      </w:r>
    </w:p>
    <w:p w:rsidR="003165CA" w:rsidRPr="004C1433" w:rsidRDefault="003165CA" w:rsidP="00242E6E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es-PE"/>
        </w:rPr>
      </w:pP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 </w:t>
      </w:r>
    </w:p>
    <w:p w:rsidR="004C1433" w:rsidRPr="004C1433" w:rsidRDefault="0039620E" w:rsidP="004C1433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es-PE"/>
        </w:rPr>
      </w:pP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La </w:t>
      </w:r>
      <w:r w:rsidR="003165CA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OGYT enviará por correo electrónico</w:t>
      </w:r>
      <w:r w:rsidR="002D7AE8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al presidente d</w:t>
      </w:r>
      <w:r w:rsidR="00242E6E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el jurado el acta de sustentació</w:t>
      </w:r>
      <w:r w:rsidR="002D7AE8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n </w:t>
      </w:r>
      <w:r w:rsidR="003165CA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en formato Word, </w:t>
      </w:r>
      <w:r w:rsidR="003D3981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para el registro de</w:t>
      </w:r>
      <w:r w:rsidR="003165CA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la calificación.</w:t>
      </w:r>
    </w:p>
    <w:p w:rsidR="004C1433" w:rsidRPr="004C1433" w:rsidRDefault="004C1433" w:rsidP="004C1433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</w:pPr>
    </w:p>
    <w:p w:rsidR="0039620E" w:rsidRPr="004C1433" w:rsidRDefault="003165CA" w:rsidP="004C1433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</w:pP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La fecha de sustentación será difundida a través de la página web. Se </w:t>
      </w:r>
      <w:r w:rsidR="0048198A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anexará</w:t>
      </w:r>
      <w:r w:rsidR="003D3981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</w:t>
      </w: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un “formato de preinscripción para asistir a la sustentación”, a fin de que los interesados, puedan recibir por correo electrónico el </w:t>
      </w:r>
      <w:r w:rsidR="0048198A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enlace </w:t>
      </w: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para incorporarse a este acto público. </w:t>
      </w:r>
    </w:p>
    <w:p w:rsidR="009522C5" w:rsidRPr="004C1433" w:rsidRDefault="009522C5" w:rsidP="001741D5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</w:pPr>
    </w:p>
    <w:p w:rsidR="004C1433" w:rsidRPr="0048198A" w:rsidRDefault="007F53DE" w:rsidP="004C1433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es-PE"/>
        </w:rPr>
      </w:pP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La OGYT enviará</w:t>
      </w:r>
      <w:r w:rsidR="0039620E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el enlace</w:t>
      </w:r>
      <w:r w:rsidR="009E10C4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y el ID</w:t>
      </w:r>
      <w:r w:rsidR="0048198A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 de la  sustenta</w:t>
      </w:r>
      <w:r w:rsidR="00E50E7B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cion del trabajo de investigació</w:t>
      </w:r>
      <w:r w:rsidR="0048198A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n en la plataforma zoom,</w:t>
      </w:r>
      <w:r w:rsidR="009E10C4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a</w:t>
      </w:r>
      <w:r w:rsidR="009522C5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l</w:t>
      </w:r>
      <w:r w:rsidR="0048198A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</w:t>
      </w:r>
      <w:r w:rsidR="0039620E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</w:t>
      </w:r>
      <w:r w:rsidR="009E10C4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jurado evaluador, al aspirante, </w:t>
      </w:r>
      <w:r w:rsidR="0048198A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</w:t>
      </w: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al asesor(</w:t>
      </w:r>
      <w:r w:rsidR="009522C5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a) </w:t>
      </w:r>
      <w:r w:rsidR="0048198A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y publico que lo haya solicitado</w:t>
      </w:r>
      <w:r w:rsidR="009522C5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.</w:t>
      </w:r>
    </w:p>
    <w:p w:rsidR="007F53DE" w:rsidRPr="004C1433" w:rsidRDefault="007F53DE" w:rsidP="001741D5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es-PE"/>
        </w:rPr>
      </w:pPr>
    </w:p>
    <w:p w:rsidR="00535ADC" w:rsidRPr="0048198A" w:rsidRDefault="006B0472" w:rsidP="00535ADC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bdr w:val="none" w:sz="0" w:space="0" w:color="auto" w:frame="1"/>
          <w:shd w:val="clear" w:color="auto" w:fill="FFFFFF"/>
          <w:lang w:eastAsia="es-PE"/>
        </w:rPr>
      </w:pPr>
      <w:r w:rsidRPr="0048198A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El jurado ingresará a la sesión </w:t>
      </w:r>
      <w:r w:rsidR="00C677C2" w:rsidRPr="0048198A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zoom </w:t>
      </w:r>
      <w:r w:rsidRPr="0048198A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10 minutos antes de la hora programada. </w:t>
      </w:r>
      <w:r w:rsidR="004C1433" w:rsidRPr="0048198A">
        <w:rPr>
          <w:rFonts w:ascii="Arial" w:eastAsia="Times New Roman" w:hAnsi="Arial" w:cs="Arial"/>
          <w:color w:val="000000"/>
          <w:sz w:val="20"/>
          <w:bdr w:val="none" w:sz="0" w:space="0" w:color="auto" w:frame="1"/>
          <w:shd w:val="clear" w:color="auto" w:fill="FFFFFF"/>
          <w:lang w:eastAsia="es-PE"/>
        </w:rPr>
        <w:t xml:space="preserve">La participación del asesor(a) es opcional. </w:t>
      </w:r>
      <w:r w:rsidRPr="0048198A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El jurado invitará a ingresar al aspirante y público a la sesión. </w:t>
      </w:r>
      <w:r w:rsidR="0048198A" w:rsidRPr="0048198A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E</w:t>
      </w:r>
      <w:r w:rsidRPr="0048198A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l presidente del jurado  dará inicio a</w:t>
      </w:r>
      <w:r w:rsidR="00A95A4F" w:rsidRPr="0048198A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la ceremonia, </w:t>
      </w:r>
      <w:r w:rsidRPr="0048198A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hará</w:t>
      </w:r>
      <w:r w:rsidR="003165CA" w:rsidRPr="0048198A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</w:t>
      </w:r>
      <w:r w:rsidR="00CE4963" w:rsidRPr="0048198A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mención del título de la tesis,</w:t>
      </w:r>
      <w:r w:rsidR="00CC297B" w:rsidRPr="0048198A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del</w:t>
      </w:r>
      <w:r w:rsidR="0047444D" w:rsidRPr="0048198A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aspirante</w:t>
      </w:r>
      <w:r w:rsidR="00535ADC" w:rsidRPr="0048198A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y de las partes del </w:t>
      </w:r>
      <w:r w:rsidR="0048198A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acto de sustentación que son las siguientes:</w:t>
      </w:r>
      <w:r w:rsidR="00CE4963" w:rsidRPr="0048198A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</w:t>
      </w:r>
    </w:p>
    <w:p w:rsidR="0095003C" w:rsidRPr="004C1433" w:rsidRDefault="0095003C" w:rsidP="001741D5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</w:pPr>
    </w:p>
    <w:p w:rsidR="0095003C" w:rsidRPr="004C1433" w:rsidRDefault="0095003C" w:rsidP="00242E6E">
      <w:pPr>
        <w:pStyle w:val="Prrafodelista"/>
        <w:numPr>
          <w:ilvl w:val="2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</w:pP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El aspirante </w:t>
      </w:r>
      <w:r w:rsidR="0039620E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realiza</w:t>
      </w:r>
      <w:r w:rsidR="005A6196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rá</w:t>
      </w:r>
      <w:r w:rsidR="003165CA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l</w:t>
      </w: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a </w:t>
      </w:r>
      <w:r w:rsidR="00CE496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exposición </w:t>
      </w: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de </w:t>
      </w:r>
      <w:r w:rsidR="0048198A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los aspectos mas significativos de </w:t>
      </w: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su trabajo de </w:t>
      </w:r>
      <w:r w:rsidR="003165CA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investigación, en un tiempo no mayor de 30 minutos</w:t>
      </w: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.</w:t>
      </w:r>
    </w:p>
    <w:p w:rsidR="0095003C" w:rsidRPr="004C1433" w:rsidRDefault="0095003C" w:rsidP="00242E6E">
      <w:pPr>
        <w:pStyle w:val="Prrafodelista"/>
        <w:numPr>
          <w:ilvl w:val="2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</w:pP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El jurado realiza</w:t>
      </w:r>
      <w:r w:rsidR="005A6196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rá</w:t>
      </w: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las preguntas </w:t>
      </w:r>
      <w:r w:rsidR="00535ADC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acerca de </w:t>
      </w: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la exposición.</w:t>
      </w:r>
    </w:p>
    <w:p w:rsidR="0095003C" w:rsidRPr="004C1433" w:rsidRDefault="0095003C" w:rsidP="00242E6E">
      <w:pPr>
        <w:pStyle w:val="Prrafodelista"/>
        <w:numPr>
          <w:ilvl w:val="2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</w:pP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El jurado delibera</w:t>
      </w:r>
      <w:r w:rsidR="005A6196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rá</w:t>
      </w: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</w:t>
      </w:r>
      <w:r w:rsidR="00242E6E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y califica</w:t>
      </w:r>
      <w:r w:rsidR="00BA727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rá</w:t>
      </w:r>
      <w:r w:rsidR="00242E6E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</w:t>
      </w: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la sustentación</w:t>
      </w:r>
    </w:p>
    <w:p w:rsidR="0095003C" w:rsidRPr="004C1433" w:rsidRDefault="0095003C" w:rsidP="00242E6E">
      <w:pPr>
        <w:pStyle w:val="Prrafodelista"/>
        <w:numPr>
          <w:ilvl w:val="2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</w:pP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El presidente del jurado informa</w:t>
      </w:r>
      <w:r w:rsidR="005A6196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rá la calificació</w:t>
      </w:r>
      <w:r w:rsidR="00CE496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n obtenida por el aspirante</w:t>
      </w: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.</w:t>
      </w:r>
    </w:p>
    <w:p w:rsidR="0047444D" w:rsidRPr="004C1433" w:rsidRDefault="0047444D" w:rsidP="001741D5">
      <w:pPr>
        <w:pStyle w:val="Prrafodelista"/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</w:pPr>
    </w:p>
    <w:p w:rsidR="0047444D" w:rsidRPr="005A6196" w:rsidRDefault="005A6196" w:rsidP="004C1433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PE"/>
        </w:rPr>
      </w:pPr>
      <w:r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*</w:t>
      </w:r>
      <w:r w:rsidR="003165CA" w:rsidRPr="005A619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PE"/>
        </w:rPr>
        <w:t xml:space="preserve">El ppt </w:t>
      </w:r>
      <w:r w:rsidR="00237B3A" w:rsidRPr="005A619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PE"/>
        </w:rPr>
        <w:t xml:space="preserve"> debe visualizar</w:t>
      </w:r>
      <w:r w:rsidR="0047444D" w:rsidRPr="005A619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PE"/>
        </w:rPr>
        <w:t>se</w:t>
      </w:r>
      <w:r w:rsidR="003165CA" w:rsidRPr="005A619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PE"/>
        </w:rPr>
        <w:t xml:space="preserve"> a través de la plataforma</w:t>
      </w:r>
      <w:r w:rsidR="0095003C" w:rsidRPr="005A619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PE"/>
        </w:rPr>
        <w:t xml:space="preserve"> zoom</w:t>
      </w:r>
      <w:r w:rsidR="003165CA" w:rsidRPr="005A619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PE"/>
        </w:rPr>
        <w:t xml:space="preserve">. </w:t>
      </w:r>
    </w:p>
    <w:p w:rsidR="003165CA" w:rsidRDefault="005A6196" w:rsidP="004C1433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</w:pPr>
      <w:r w:rsidRPr="005A619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PE"/>
        </w:rPr>
        <w:t>**</w:t>
      </w:r>
      <w:r w:rsidR="003165CA" w:rsidRPr="005A619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PE"/>
        </w:rPr>
        <w:t xml:space="preserve">La sustentación </w:t>
      </w:r>
      <w:r w:rsidR="00BA727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PE"/>
        </w:rPr>
        <w:t>podrá</w:t>
      </w:r>
      <w:r w:rsidR="009522C5" w:rsidRPr="005A619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PE"/>
        </w:rPr>
        <w:t xml:space="preserve"> ser </w:t>
      </w:r>
      <w:r w:rsidRPr="005A619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PE"/>
        </w:rPr>
        <w:t>grabada.</w:t>
      </w:r>
      <w:r w:rsidR="003165CA" w:rsidRPr="005A619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PE"/>
        </w:rPr>
        <w:t> </w:t>
      </w:r>
      <w:r w:rsidR="003165CA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 </w:t>
      </w:r>
    </w:p>
    <w:p w:rsidR="00E50E7B" w:rsidRPr="004C1433" w:rsidRDefault="00E50E7B" w:rsidP="004C1433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es-PE"/>
        </w:rPr>
      </w:pPr>
    </w:p>
    <w:p w:rsidR="000D6BCE" w:rsidRPr="000D6BCE" w:rsidRDefault="00A95A4F" w:rsidP="004C1433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es-PE"/>
        </w:rPr>
      </w:pPr>
      <w:r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C</w:t>
      </w:r>
      <w:r w:rsidR="003165CA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oncluida la exposición, los miembros del jurado realizarán las preguntas que estimen convenientes </w:t>
      </w:r>
      <w:r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acerca d</w:t>
      </w:r>
      <w:r w:rsidR="003165CA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el </w:t>
      </w:r>
      <w:r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contenido del </w:t>
      </w:r>
      <w:r w:rsidR="003165CA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trabajo de investigación. </w:t>
      </w:r>
      <w:r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Finalizadas </w:t>
      </w:r>
      <w:r w:rsidR="003165CA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las preguntas, el presidente del jurado </w:t>
      </w:r>
      <w:r w:rsidR="000D6BCE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dispondrá que el</w:t>
      </w:r>
      <w:r w:rsidR="002A6D4B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</w:t>
      </w:r>
      <w:r w:rsidR="003165CA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aspirante y público </w:t>
      </w:r>
      <w:r w:rsidR="000D6BCE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abandonen la sesió</w:t>
      </w:r>
      <w:r w:rsidR="002A6D4B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n para</w:t>
      </w:r>
      <w:r w:rsidR="000D6BCE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proceder a  la delib</w:t>
      </w:r>
      <w:r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eració</w:t>
      </w:r>
      <w:r w:rsidR="002A6D4B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n y calificacion en privado.</w:t>
      </w:r>
    </w:p>
    <w:p w:rsidR="003165CA" w:rsidRPr="004C1433" w:rsidRDefault="003165CA" w:rsidP="000D6BCE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es-PE"/>
        </w:rPr>
      </w:pP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 </w:t>
      </w:r>
    </w:p>
    <w:p w:rsidR="000D6BCE" w:rsidRPr="000D6BCE" w:rsidRDefault="000D6BCE" w:rsidP="004C1433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es-PE"/>
        </w:rPr>
      </w:pPr>
      <w:r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La calificacion tendrá carácter cualitativo y se utilizará la siguiente escala</w:t>
      </w:r>
      <w:r w:rsidR="004212C3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: Excelente</w:t>
      </w:r>
      <w:r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, Aprobado o D</w:t>
      </w:r>
      <w:r w:rsidR="009E10C4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esaprobado. </w:t>
      </w:r>
      <w:r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D</w:t>
      </w:r>
      <w:r w:rsidR="009E10C4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e manera referencial se considera excelente  (de 17 a 20)</w:t>
      </w:r>
      <w:r w:rsidR="004212C3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, a</w:t>
      </w:r>
      <w:r w:rsidR="003165CA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probado</w:t>
      </w:r>
      <w:r w:rsidR="009E10C4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(de 11 a 16)</w:t>
      </w:r>
      <w:r w:rsidR="00BA727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y</w:t>
      </w:r>
      <w:r w:rsidR="003165CA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desaprobad</w:t>
      </w:r>
      <w:r w:rsidR="009E10C4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o</w:t>
      </w:r>
      <w:r w:rsidR="00773D82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(de 0 a 10).</w:t>
      </w:r>
    </w:p>
    <w:p w:rsidR="003165CA" w:rsidRPr="004C1433" w:rsidRDefault="003165CA" w:rsidP="000D6BCE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es-PE"/>
        </w:rPr>
      </w:pPr>
    </w:p>
    <w:p w:rsidR="004C1433" w:rsidRPr="004C1433" w:rsidRDefault="005A6196" w:rsidP="004C1433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es-PE"/>
        </w:rPr>
      </w:pPr>
      <w:r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E</w:t>
      </w:r>
      <w:r w:rsidR="003165CA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l presidente del jurado completará esta información en el acta de sustentación y se insertarán las firmas del jurado</w:t>
      </w:r>
      <w:r w:rsidR="009522C5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. Esta acta deberá enviarse</w:t>
      </w:r>
      <w:r w:rsidR="003165CA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al jefe de la OGYT, por correo electrónico. </w:t>
      </w:r>
      <w:r w:rsidR="002D7AE8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Para validar esta calificación, </w:t>
      </w:r>
      <w:r w:rsid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los otros dos miembros </w:t>
      </w:r>
      <w:r w:rsidR="002D7AE8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del jurado enviará</w:t>
      </w:r>
      <w:r w:rsid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n</w:t>
      </w:r>
      <w:r w:rsidR="002D7AE8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también dicha calificación, al </w:t>
      </w:r>
      <w:r w:rsidR="00BA727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mismo correo</w:t>
      </w:r>
      <w:r w:rsidR="002D7AE8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.</w:t>
      </w:r>
      <w:r w:rsidR="003165CA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 </w:t>
      </w:r>
    </w:p>
    <w:p w:rsidR="003165CA" w:rsidRPr="004C1433" w:rsidRDefault="003165CA" w:rsidP="004C1433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es-PE"/>
        </w:rPr>
      </w:pP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 </w:t>
      </w:r>
    </w:p>
    <w:p w:rsidR="0094414C" w:rsidRDefault="003165CA" w:rsidP="004C1433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</w:pP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El</w:t>
      </w:r>
      <w:r w:rsidR="004C1433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aspirant</w:t>
      </w:r>
      <w:r w:rsidR="000D6BCE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e y público retorna</w:t>
      </w:r>
      <w:r w:rsidR="005A6196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rá</w:t>
      </w:r>
      <w:r w:rsidR="000D6BCE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n a la sesió</w:t>
      </w:r>
      <w:r w:rsidR="004C1433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n y el</w:t>
      </w: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presidente informará </w:t>
      </w:r>
      <w:r w:rsidR="00A95A4F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la calificación </w:t>
      </w: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de la sustentación del trabajo de investigación. </w:t>
      </w:r>
    </w:p>
    <w:p w:rsidR="0094414C" w:rsidRPr="0094414C" w:rsidRDefault="0094414C" w:rsidP="00944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es-PE"/>
        </w:rPr>
      </w:pPr>
    </w:p>
    <w:p w:rsidR="003165CA" w:rsidRDefault="003165CA" w:rsidP="004C1433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</w:pP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En caso de desaprobación se procederá según lo estipulado en el</w:t>
      </w:r>
      <w:r w:rsidR="004C1433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</w:t>
      </w:r>
      <w:r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Art. 18 del Reglamento de grados y títulos USMP</w:t>
      </w:r>
      <w:r w:rsidR="00A95A4F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, en el cual se indica que e</w:t>
      </w:r>
      <w:r w:rsidR="00BB4E8F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>l aspirante dispone de treinta (30) dias calendario, para solicitar</w:t>
      </w:r>
      <w:r w:rsidR="009522C5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a la OGYT</w:t>
      </w:r>
      <w:r w:rsidR="00BB4E8F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una nueva fecha</w:t>
      </w:r>
      <w:r w:rsidR="009522C5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 de sustentación</w:t>
      </w:r>
      <w:r w:rsidR="00BB4E8F" w:rsidRPr="004C1433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  <w:t xml:space="preserve">. </w:t>
      </w:r>
    </w:p>
    <w:p w:rsidR="000D6BCE" w:rsidRPr="000D6BCE" w:rsidRDefault="000D6BCE" w:rsidP="000D6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PE"/>
        </w:rPr>
      </w:pPr>
    </w:p>
    <w:p w:rsidR="00E50E7B" w:rsidRDefault="00E50E7B" w:rsidP="00E50E7B">
      <w:pPr>
        <w:shd w:val="clear" w:color="auto" w:fill="FFFFFF"/>
        <w:spacing w:after="0" w:line="240" w:lineRule="auto"/>
        <w:ind w:left="709" w:hanging="284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bdr w:val="none" w:sz="0" w:space="0" w:color="auto" w:frame="1"/>
          <w:lang w:eastAsia="es-PE"/>
        </w:rPr>
      </w:pPr>
    </w:p>
    <w:p w:rsidR="00E50E7B" w:rsidRPr="00E50E7B" w:rsidRDefault="00E50E7B" w:rsidP="00E50E7B">
      <w:pPr>
        <w:shd w:val="clear" w:color="auto" w:fill="FFFFFF"/>
        <w:spacing w:after="0" w:line="240" w:lineRule="auto"/>
        <w:ind w:left="709" w:hanging="142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bdr w:val="none" w:sz="0" w:space="0" w:color="auto" w:frame="1"/>
          <w:lang w:eastAsia="es-PE"/>
        </w:rPr>
      </w:pPr>
      <w:r w:rsidRPr="00E50E7B">
        <w:rPr>
          <w:rFonts w:ascii="Arial" w:eastAsia="Times New Roman" w:hAnsi="Arial" w:cs="Arial"/>
          <w:b/>
          <w:bCs/>
          <w:color w:val="000000"/>
          <w:sz w:val="18"/>
          <w:bdr w:val="none" w:sz="0" w:space="0" w:color="auto" w:frame="1"/>
          <w:lang w:eastAsia="es-PE"/>
        </w:rPr>
        <w:t>CONSIDERACIONES ESPECIALES </w:t>
      </w:r>
    </w:p>
    <w:p w:rsidR="00E50E7B" w:rsidRPr="00E50E7B" w:rsidRDefault="00E50E7B" w:rsidP="00E50E7B">
      <w:pPr>
        <w:shd w:val="clear" w:color="auto" w:fill="FFFFFF"/>
        <w:spacing w:after="0" w:line="240" w:lineRule="auto"/>
        <w:ind w:left="709" w:hanging="142"/>
        <w:jc w:val="both"/>
        <w:textAlignment w:val="baseline"/>
        <w:rPr>
          <w:rFonts w:ascii="Arial" w:eastAsia="Times New Roman" w:hAnsi="Arial" w:cs="Arial"/>
          <w:color w:val="000000"/>
          <w:sz w:val="18"/>
          <w:lang w:eastAsia="es-PE"/>
        </w:rPr>
      </w:pPr>
    </w:p>
    <w:p w:rsidR="00E50E7B" w:rsidRPr="00E50E7B" w:rsidRDefault="00E50E7B" w:rsidP="00E50E7B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142"/>
        <w:textAlignment w:val="baseline"/>
        <w:rPr>
          <w:rFonts w:ascii="Arial" w:eastAsia="Times New Roman" w:hAnsi="Arial" w:cs="Arial"/>
          <w:color w:val="000000"/>
          <w:sz w:val="18"/>
          <w:lang w:eastAsia="es-PE"/>
        </w:rPr>
      </w:pPr>
      <w:r w:rsidRPr="00E50E7B">
        <w:rPr>
          <w:rFonts w:ascii="Arial" w:eastAsia="Times New Roman" w:hAnsi="Arial" w:cs="Arial"/>
          <w:color w:val="000000"/>
          <w:sz w:val="18"/>
          <w:bdr w:val="none" w:sz="0" w:space="0" w:color="auto" w:frame="1"/>
          <w:lang w:eastAsia="es-PE"/>
        </w:rPr>
        <w:t>Evaluar previamente las condiciones de acceso a internet. </w:t>
      </w:r>
    </w:p>
    <w:p w:rsidR="00E50E7B" w:rsidRPr="00E50E7B" w:rsidRDefault="00E50E7B" w:rsidP="00E50E7B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142"/>
        <w:textAlignment w:val="baseline"/>
        <w:rPr>
          <w:rFonts w:ascii="Arial" w:eastAsia="Times New Roman" w:hAnsi="Arial" w:cs="Arial"/>
          <w:color w:val="000000"/>
          <w:sz w:val="18"/>
          <w:lang w:eastAsia="es-PE"/>
        </w:rPr>
      </w:pPr>
      <w:r w:rsidRPr="00E50E7B">
        <w:rPr>
          <w:rFonts w:ascii="Arial" w:eastAsia="Times New Roman" w:hAnsi="Arial" w:cs="Arial"/>
          <w:color w:val="000000"/>
          <w:sz w:val="18"/>
          <w:bdr w:val="none" w:sz="0" w:space="0" w:color="auto" w:frame="1"/>
          <w:lang w:eastAsia="es-PE"/>
        </w:rPr>
        <w:t>Verificar el correcto funcionamiento de la cámara y micrófono de su dispositivo. </w:t>
      </w:r>
    </w:p>
    <w:p w:rsidR="00C40A26" w:rsidRPr="00A922DE" w:rsidRDefault="00E50E7B" w:rsidP="00A922DE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142"/>
        <w:textAlignment w:val="baseline"/>
        <w:rPr>
          <w:rFonts w:ascii="Arial" w:eastAsia="Times New Roman" w:hAnsi="Arial" w:cs="Arial"/>
          <w:color w:val="000000"/>
          <w:sz w:val="18"/>
          <w:lang w:eastAsia="es-PE"/>
        </w:rPr>
      </w:pPr>
      <w:r w:rsidRPr="00E50E7B">
        <w:rPr>
          <w:rFonts w:ascii="Arial" w:eastAsia="Times New Roman" w:hAnsi="Arial" w:cs="Arial"/>
          <w:color w:val="000000"/>
          <w:sz w:val="18"/>
          <w:bdr w:val="none" w:sz="0" w:space="0" w:color="auto" w:frame="1"/>
          <w:lang w:eastAsia="es-PE"/>
        </w:rPr>
        <w:t>El aspirante deberá verificar con anticipación, las cond</w:t>
      </w:r>
      <w:bookmarkStart w:id="0" w:name="_GoBack"/>
      <w:bookmarkEnd w:id="0"/>
    </w:p>
    <w:sectPr w:rsidR="00C40A26" w:rsidRPr="00A922DE" w:rsidSect="00A922DE">
      <w:footerReference w:type="default" r:id="rId8"/>
      <w:pgSz w:w="11906" w:h="16838"/>
      <w:pgMar w:top="993" w:right="1133" w:bottom="851" w:left="1440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7B" w:rsidRDefault="00E50E7B" w:rsidP="009942C1">
      <w:pPr>
        <w:spacing w:after="0" w:line="240" w:lineRule="auto"/>
      </w:pPr>
      <w:r>
        <w:separator/>
      </w:r>
    </w:p>
  </w:endnote>
  <w:endnote w:type="continuationSeparator" w:id="0">
    <w:p w:rsidR="00E50E7B" w:rsidRDefault="00E50E7B" w:rsidP="0099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7B" w:rsidRPr="00E50E7B" w:rsidRDefault="00E50E7B" w:rsidP="0094414C">
    <w:pPr>
      <w:pStyle w:val="Piedepgina"/>
      <w:jc w:val="right"/>
      <w:rPr>
        <w:rFonts w:ascii="Times New Roman" w:hAnsi="Times New Roman" w:cs="Times New Roman"/>
        <w:color w:val="800000"/>
        <w:sz w:val="12"/>
        <w:szCs w:val="14"/>
      </w:rPr>
    </w:pPr>
    <w:r w:rsidRPr="00E50E7B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</w:t>
    </w:r>
    <w:r w:rsidRPr="00E50E7B">
      <w:rPr>
        <w:rFonts w:ascii="Times New Roman" w:hAnsi="Times New Roman" w:cs="Times New Roman"/>
        <w:color w:val="800000"/>
        <w:sz w:val="12"/>
        <w:szCs w:val="14"/>
      </w:rPr>
      <w:t>FACULTAD DE ODONTOLOGÍA-USMP</w:t>
    </w:r>
  </w:p>
  <w:p w:rsidR="00E50E7B" w:rsidRPr="00E50E7B" w:rsidRDefault="00E50E7B" w:rsidP="0094414C">
    <w:pPr>
      <w:pStyle w:val="Piedepgina"/>
      <w:jc w:val="center"/>
      <w:rPr>
        <w:rFonts w:ascii="Times New Roman" w:hAnsi="Times New Roman" w:cs="Times New Roman"/>
        <w:color w:val="800000"/>
        <w:sz w:val="12"/>
        <w:szCs w:val="14"/>
      </w:rPr>
    </w:pPr>
    <w:r w:rsidRPr="00E50E7B">
      <w:rPr>
        <w:rFonts w:ascii="Times New Roman" w:hAnsi="Times New Roman" w:cs="Times New Roman"/>
        <w:color w:val="800000"/>
        <w:sz w:val="12"/>
        <w:szCs w:val="14"/>
      </w:rPr>
      <w:t xml:space="preserve">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color w:val="800000"/>
        <w:sz w:val="12"/>
        <w:szCs w:val="14"/>
      </w:rPr>
      <w:t xml:space="preserve">                                        </w:t>
    </w:r>
    <w:r w:rsidRPr="00E50E7B">
      <w:rPr>
        <w:rFonts w:ascii="Times New Roman" w:hAnsi="Times New Roman" w:cs="Times New Roman"/>
        <w:color w:val="800000"/>
        <w:sz w:val="12"/>
        <w:szCs w:val="14"/>
      </w:rPr>
      <w:t>Oficina de Grados y Títulos (OGYT) 2020</w:t>
    </w:r>
  </w:p>
  <w:p w:rsidR="00E50E7B" w:rsidRPr="00E50E7B" w:rsidRDefault="00E50E7B" w:rsidP="0094414C">
    <w:pPr>
      <w:pStyle w:val="Piedepgina"/>
      <w:jc w:val="center"/>
      <w:rPr>
        <w:rFonts w:ascii="Times New Roman" w:hAnsi="Times New Roman" w:cs="Times New Roman"/>
        <w:color w:val="800000"/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7B" w:rsidRDefault="00E50E7B" w:rsidP="009942C1">
      <w:pPr>
        <w:spacing w:after="0" w:line="240" w:lineRule="auto"/>
      </w:pPr>
      <w:r>
        <w:separator/>
      </w:r>
    </w:p>
  </w:footnote>
  <w:footnote w:type="continuationSeparator" w:id="0">
    <w:p w:rsidR="00E50E7B" w:rsidRDefault="00E50E7B" w:rsidP="00994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2B0D"/>
    <w:multiLevelType w:val="multilevel"/>
    <w:tmpl w:val="A37C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E2439"/>
    <w:multiLevelType w:val="multilevel"/>
    <w:tmpl w:val="8F38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86D21"/>
    <w:multiLevelType w:val="hybridMultilevel"/>
    <w:tmpl w:val="B4A0D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F59F7"/>
    <w:multiLevelType w:val="hybridMultilevel"/>
    <w:tmpl w:val="5464F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30FAC"/>
    <w:multiLevelType w:val="hybridMultilevel"/>
    <w:tmpl w:val="C57E0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CA"/>
    <w:rsid w:val="000A4E95"/>
    <w:rsid w:val="000D6BCE"/>
    <w:rsid w:val="001573FA"/>
    <w:rsid w:val="001741D5"/>
    <w:rsid w:val="00233D3C"/>
    <w:rsid w:val="00237B3A"/>
    <w:rsid w:val="00242E6E"/>
    <w:rsid w:val="002A43E0"/>
    <w:rsid w:val="002A6D4B"/>
    <w:rsid w:val="002D7AE8"/>
    <w:rsid w:val="003165CA"/>
    <w:rsid w:val="00393D39"/>
    <w:rsid w:val="0039620E"/>
    <w:rsid w:val="003D3981"/>
    <w:rsid w:val="004212C3"/>
    <w:rsid w:val="0047444D"/>
    <w:rsid w:val="0048198A"/>
    <w:rsid w:val="004C1433"/>
    <w:rsid w:val="004D2270"/>
    <w:rsid w:val="00535ADC"/>
    <w:rsid w:val="005A5B12"/>
    <w:rsid w:val="005A6196"/>
    <w:rsid w:val="006B0472"/>
    <w:rsid w:val="006D30AE"/>
    <w:rsid w:val="00773D82"/>
    <w:rsid w:val="007F38CB"/>
    <w:rsid w:val="007F53DE"/>
    <w:rsid w:val="0094414C"/>
    <w:rsid w:val="0095003C"/>
    <w:rsid w:val="009522C5"/>
    <w:rsid w:val="009942C1"/>
    <w:rsid w:val="009E10C4"/>
    <w:rsid w:val="00A922DE"/>
    <w:rsid w:val="00A95A4F"/>
    <w:rsid w:val="00BA7273"/>
    <w:rsid w:val="00BB4E8F"/>
    <w:rsid w:val="00BE04F4"/>
    <w:rsid w:val="00C40A26"/>
    <w:rsid w:val="00C677C2"/>
    <w:rsid w:val="00CC297B"/>
    <w:rsid w:val="00CE4963"/>
    <w:rsid w:val="00E00998"/>
    <w:rsid w:val="00E50E7B"/>
    <w:rsid w:val="00E7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ms-button-flexcontainer">
    <w:name w:val="ms-button-flexcontainer"/>
    <w:basedOn w:val="Fuentedeprrafopredeter"/>
    <w:rsid w:val="009942C1"/>
  </w:style>
  <w:style w:type="paragraph" w:styleId="Encabezado">
    <w:name w:val="header"/>
    <w:basedOn w:val="Normal"/>
    <w:link w:val="EncabezadoCar"/>
    <w:uiPriority w:val="99"/>
    <w:unhideWhenUsed/>
    <w:rsid w:val="00994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2C1"/>
  </w:style>
  <w:style w:type="paragraph" w:styleId="Piedepgina">
    <w:name w:val="footer"/>
    <w:basedOn w:val="Normal"/>
    <w:link w:val="PiedepginaCar"/>
    <w:uiPriority w:val="99"/>
    <w:unhideWhenUsed/>
    <w:rsid w:val="00994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2C1"/>
  </w:style>
  <w:style w:type="paragraph" w:styleId="Prrafodelista">
    <w:name w:val="List Paragraph"/>
    <w:basedOn w:val="Normal"/>
    <w:uiPriority w:val="34"/>
    <w:qFormat/>
    <w:rsid w:val="009500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677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ms-button-flexcontainer">
    <w:name w:val="ms-button-flexcontainer"/>
    <w:basedOn w:val="Fuentedeprrafopredeter"/>
    <w:rsid w:val="009942C1"/>
  </w:style>
  <w:style w:type="paragraph" w:styleId="Encabezado">
    <w:name w:val="header"/>
    <w:basedOn w:val="Normal"/>
    <w:link w:val="EncabezadoCar"/>
    <w:uiPriority w:val="99"/>
    <w:unhideWhenUsed/>
    <w:rsid w:val="00994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2C1"/>
  </w:style>
  <w:style w:type="paragraph" w:styleId="Piedepgina">
    <w:name w:val="footer"/>
    <w:basedOn w:val="Normal"/>
    <w:link w:val="PiedepginaCar"/>
    <w:uiPriority w:val="99"/>
    <w:unhideWhenUsed/>
    <w:rsid w:val="00994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2C1"/>
  </w:style>
  <w:style w:type="paragraph" w:styleId="Prrafodelista">
    <w:name w:val="List Paragraph"/>
    <w:basedOn w:val="Normal"/>
    <w:uiPriority w:val="34"/>
    <w:qFormat/>
    <w:rsid w:val="009500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67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328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4908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2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3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651481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5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8286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9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2920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BOBYPC</dc:creator>
  <cp:keywords/>
  <dc:description/>
  <cp:lastModifiedBy>Home</cp:lastModifiedBy>
  <cp:revision>2</cp:revision>
  <dcterms:created xsi:type="dcterms:W3CDTF">2020-12-22T19:08:00Z</dcterms:created>
  <dcterms:modified xsi:type="dcterms:W3CDTF">2020-12-22T19:08:00Z</dcterms:modified>
</cp:coreProperties>
</file>